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B1" w:rsidRPr="00E730B1" w:rsidRDefault="00E730B1" w:rsidP="00E730B1">
      <w:pPr>
        <w:shd w:val="clear" w:color="auto" w:fill="FFFFFF"/>
        <w:spacing w:after="0" w:line="255" w:lineRule="atLeast"/>
        <w:textAlignment w:val="baseline"/>
        <w:outlineLvl w:val="3"/>
        <w:rPr>
          <w:rFonts w:ascii="Arial" w:eastAsia="Times New Roman" w:hAnsi="Arial" w:cs="Arial"/>
          <w:b/>
          <w:bCs/>
          <w:caps/>
          <w:color w:val="444545"/>
          <w:spacing w:val="2"/>
          <w:sz w:val="23"/>
          <w:szCs w:val="23"/>
          <w:lang w:val="ro-RO"/>
        </w:rPr>
      </w:pPr>
      <w:r w:rsidRPr="00E730B1">
        <w:rPr>
          <w:rFonts w:ascii="Arial" w:eastAsia="Times New Roman" w:hAnsi="Arial" w:cs="Arial"/>
          <w:b/>
          <w:bCs/>
          <w:caps/>
          <w:color w:val="444545"/>
          <w:spacing w:val="2"/>
          <w:sz w:val="21"/>
          <w:lang w:val="ro-RO"/>
        </w:rPr>
        <w:t>CE SUNT</w:t>
      </w:r>
      <w:r w:rsidRPr="00E730B1">
        <w:rPr>
          <w:rFonts w:ascii="Arial" w:eastAsia="Times New Roman" w:hAnsi="Arial" w:cs="Arial"/>
          <w:b/>
          <w:bCs/>
          <w:caps/>
          <w:color w:val="444545"/>
          <w:spacing w:val="2"/>
          <w:sz w:val="23"/>
          <w:lang w:val="ro-RO"/>
        </w:rPr>
        <w:t> </w:t>
      </w:r>
      <w:r w:rsidRPr="00E730B1">
        <w:rPr>
          <w:rFonts w:ascii="Arial" w:eastAsia="Times New Roman" w:hAnsi="Arial" w:cs="Arial"/>
          <w:b/>
          <w:bCs/>
          <w:caps/>
          <w:color w:val="444545"/>
          <w:spacing w:val="2"/>
          <w:sz w:val="21"/>
          <w:lang w:val="ro-RO"/>
        </w:rPr>
        <w:t>BENEFICIILE DE ASISTENŢĂ SOCIALĂ?</w:t>
      </w: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Beneficiile de asistenţă socială, componentă a sistemului naţional de protecţie socială, sunt măsuri de redistribuţie financiară destinate persoanelor sau familiilor care întrunesc condiţiile de eligibilitate prevăzute de lege, iar serviciile sociale reprezintă ansamblul complex de măsuri şi acţiuni realizate pentru a răspunde nevoilor sociale ale persoanelor, familiilor, grupurilor sau comunităţilor, în vederea prevenirii şi depăşirii unor situaţii de dificultate, vulnerabilitate ori dependenţă, pentru creşterea calităţii vieţii şi promovarea coeziunii sociale.</w:t>
      </w:r>
    </w:p>
    <w:p w:rsidR="00E730B1" w:rsidRPr="00E730B1" w:rsidRDefault="005B529B" w:rsidP="00E730B1">
      <w:pPr>
        <w:spacing w:after="360" w:line="240" w:lineRule="auto"/>
        <w:rPr>
          <w:rFonts w:ascii="Times New Roman" w:eastAsia="Times New Roman" w:hAnsi="Times New Roman" w:cs="Times New Roman"/>
          <w:sz w:val="24"/>
          <w:szCs w:val="24"/>
          <w:lang w:val="ro-RO"/>
        </w:rPr>
      </w:pPr>
      <w:r w:rsidRPr="005B529B">
        <w:rPr>
          <w:rFonts w:ascii="Times New Roman" w:eastAsia="Times New Roman" w:hAnsi="Times New Roman" w:cs="Times New Roman"/>
          <w:sz w:val="24"/>
          <w:szCs w:val="24"/>
          <w:lang w:val="ro-RO"/>
        </w:rPr>
        <w:pict>
          <v:rect id="_x0000_i1025" style="width:0;height:.75pt" o:hralign="center" o:hrstd="t" o:hrnoshade="t" o:hr="t" fillcolor="#f3f3f3" stroked="f"/>
        </w:pict>
      </w: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Principalele tipuri de beneficii de asistenţă socială acordate ţintit anumitor categorii de beneficiari sunt următoarele:</w:t>
      </w:r>
    </w:p>
    <w:p w:rsidR="00E730B1" w:rsidRPr="00E730B1" w:rsidRDefault="00E730B1" w:rsidP="00E730B1">
      <w:pPr>
        <w:numPr>
          <w:ilvl w:val="0"/>
          <w:numId w:val="1"/>
        </w:numPr>
        <w:shd w:val="clear" w:color="auto" w:fill="FFFFFF"/>
        <w:spacing w:after="0" w:line="315" w:lineRule="atLeast"/>
        <w:ind w:left="300"/>
        <w:textAlignment w:val="baseline"/>
        <w:rPr>
          <w:rFonts w:ascii="Arial" w:eastAsia="Times New Roman" w:hAnsi="Arial" w:cs="Arial"/>
          <w:b/>
          <w:bCs/>
          <w:color w:val="444545"/>
          <w:sz w:val="21"/>
          <w:szCs w:val="21"/>
          <w:lang w:val="ro-RO"/>
        </w:rPr>
      </w:pPr>
      <w:r w:rsidRPr="00E730B1">
        <w:rPr>
          <w:rFonts w:ascii="Arial" w:eastAsia="Times New Roman" w:hAnsi="Arial" w:cs="Arial"/>
          <w:b/>
          <w:bCs/>
          <w:color w:val="444545"/>
          <w:sz w:val="21"/>
          <w:szCs w:val="21"/>
          <w:lang w:val="ro-RO"/>
        </w:rPr>
        <w:t>Sprijin acordat familiilor cu venituri reduse</w:t>
      </w:r>
    </w:p>
    <w:p w:rsidR="00E730B1" w:rsidRPr="00E730B1" w:rsidRDefault="00E730B1" w:rsidP="00E730B1">
      <w:pPr>
        <w:numPr>
          <w:ilvl w:val="0"/>
          <w:numId w:val="2"/>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Ajutorul social;</w:t>
      </w:r>
    </w:p>
    <w:p w:rsidR="00E730B1" w:rsidRPr="00E730B1" w:rsidRDefault="00E730B1" w:rsidP="00E730B1">
      <w:pPr>
        <w:numPr>
          <w:ilvl w:val="0"/>
          <w:numId w:val="2"/>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Ajutorul  încălzire;</w:t>
      </w:r>
    </w:p>
    <w:p w:rsidR="00E730B1" w:rsidRPr="00E730B1" w:rsidRDefault="00E730B1" w:rsidP="00E730B1">
      <w:pPr>
        <w:numPr>
          <w:ilvl w:val="0"/>
          <w:numId w:val="2"/>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Alocaţia pentru susţinerea familiei;</w:t>
      </w:r>
    </w:p>
    <w:p w:rsidR="00E730B1" w:rsidRPr="00E730B1" w:rsidRDefault="00E730B1" w:rsidP="00E730B1">
      <w:pPr>
        <w:numPr>
          <w:ilvl w:val="0"/>
          <w:numId w:val="3"/>
        </w:numPr>
        <w:shd w:val="clear" w:color="auto" w:fill="FFFFFF"/>
        <w:spacing w:after="0" w:line="315" w:lineRule="atLeast"/>
        <w:ind w:left="300"/>
        <w:textAlignment w:val="baseline"/>
        <w:rPr>
          <w:rFonts w:ascii="Arial" w:eastAsia="Times New Roman" w:hAnsi="Arial" w:cs="Arial"/>
          <w:b/>
          <w:bCs/>
          <w:color w:val="444545"/>
          <w:sz w:val="21"/>
          <w:szCs w:val="21"/>
          <w:lang w:val="ro-RO"/>
        </w:rPr>
      </w:pPr>
      <w:r w:rsidRPr="00E730B1">
        <w:rPr>
          <w:rFonts w:ascii="Arial" w:eastAsia="Times New Roman" w:hAnsi="Arial" w:cs="Arial"/>
          <w:b/>
          <w:bCs/>
          <w:color w:val="444545"/>
          <w:sz w:val="21"/>
          <w:szCs w:val="21"/>
          <w:lang w:val="ro-RO"/>
        </w:rPr>
        <w:t>Politici familiale</w:t>
      </w:r>
    </w:p>
    <w:p w:rsidR="00E730B1" w:rsidRPr="00E730B1" w:rsidRDefault="00E730B1" w:rsidP="00E730B1">
      <w:pPr>
        <w:numPr>
          <w:ilvl w:val="0"/>
          <w:numId w:val="4"/>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Alocaţia de stat pentru copii;</w:t>
      </w:r>
    </w:p>
    <w:p w:rsidR="00E730B1" w:rsidRPr="00E730B1" w:rsidRDefault="00E730B1" w:rsidP="00E730B1">
      <w:pPr>
        <w:numPr>
          <w:ilvl w:val="0"/>
          <w:numId w:val="4"/>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Alocaţia de plasament;</w:t>
      </w:r>
    </w:p>
    <w:p w:rsidR="00E730B1" w:rsidRPr="00E730B1" w:rsidRDefault="00E730B1" w:rsidP="00E730B1">
      <w:pPr>
        <w:numPr>
          <w:ilvl w:val="0"/>
          <w:numId w:val="4"/>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Indemnizaţia pentru creşterea copilului şi stimulentul de inserţie;</w:t>
      </w:r>
    </w:p>
    <w:p w:rsidR="00E730B1" w:rsidRPr="00E730B1" w:rsidRDefault="00E730B1" w:rsidP="00E730B1">
      <w:pPr>
        <w:numPr>
          <w:ilvl w:val="0"/>
          <w:numId w:val="5"/>
        </w:numPr>
        <w:shd w:val="clear" w:color="auto" w:fill="FFFFFF"/>
        <w:spacing w:after="0" w:line="315" w:lineRule="atLeast"/>
        <w:ind w:left="300"/>
        <w:textAlignment w:val="baseline"/>
        <w:rPr>
          <w:rFonts w:ascii="Arial" w:eastAsia="Times New Roman" w:hAnsi="Arial" w:cs="Arial"/>
          <w:b/>
          <w:bCs/>
          <w:color w:val="444545"/>
          <w:sz w:val="21"/>
          <w:szCs w:val="21"/>
          <w:lang w:val="ro-RO"/>
        </w:rPr>
      </w:pPr>
      <w:r w:rsidRPr="00E730B1">
        <w:rPr>
          <w:rFonts w:ascii="Arial" w:eastAsia="Times New Roman" w:hAnsi="Arial" w:cs="Arial"/>
          <w:b/>
          <w:bCs/>
          <w:color w:val="444545"/>
          <w:sz w:val="21"/>
          <w:szCs w:val="21"/>
          <w:lang w:val="ro-RO"/>
        </w:rPr>
        <w:t>Sprijin acordat persoanelor cu handicap</w:t>
      </w:r>
    </w:p>
    <w:p w:rsidR="00E730B1" w:rsidRPr="00E730B1" w:rsidRDefault="00E730B1" w:rsidP="00E730B1">
      <w:pPr>
        <w:numPr>
          <w:ilvl w:val="0"/>
          <w:numId w:val="6"/>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Drepturi acordate persoanelor cu handicap în conformitate cu Legea nr. 448/2006;</w:t>
      </w:r>
    </w:p>
    <w:p w:rsidR="00E730B1" w:rsidRPr="00E730B1" w:rsidRDefault="00E730B1" w:rsidP="00E730B1">
      <w:pPr>
        <w:numPr>
          <w:ilvl w:val="0"/>
          <w:numId w:val="6"/>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Bugetele personale complementare acordate lunar persoanelor cu handicap;</w:t>
      </w:r>
    </w:p>
    <w:p w:rsidR="00E730B1" w:rsidRPr="00E730B1" w:rsidRDefault="00E730B1" w:rsidP="00E730B1">
      <w:pPr>
        <w:numPr>
          <w:ilvl w:val="0"/>
          <w:numId w:val="6"/>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Indemnizaţia lunară de hrană HIV/SIDA;</w:t>
      </w:r>
    </w:p>
    <w:p w:rsidR="00E730B1" w:rsidRPr="00E730B1" w:rsidRDefault="00E730B1" w:rsidP="00E730B1">
      <w:pPr>
        <w:numPr>
          <w:ilvl w:val="0"/>
          <w:numId w:val="6"/>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Indemnizaţia lunară acordată persoanelor cu handicap grav şi accentuat;</w:t>
      </w:r>
    </w:p>
    <w:p w:rsidR="00E730B1" w:rsidRPr="00E730B1" w:rsidRDefault="00E730B1" w:rsidP="00E730B1">
      <w:pPr>
        <w:numPr>
          <w:ilvl w:val="0"/>
          <w:numId w:val="6"/>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Alocaţia lunară de hrană pentru copiii cu handicap de tip HIV/SIDA;</w:t>
      </w: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Principalele criterii pe baza cărora se acordă beneficiile de asistenţă socială sunt:</w:t>
      </w:r>
    </w:p>
    <w:p w:rsidR="00E730B1" w:rsidRPr="00E730B1" w:rsidRDefault="00E730B1" w:rsidP="00E730B1">
      <w:pPr>
        <w:numPr>
          <w:ilvl w:val="0"/>
          <w:numId w:val="7"/>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evaluarea contextului familial;</w:t>
      </w:r>
    </w:p>
    <w:p w:rsidR="00E730B1" w:rsidRPr="00E730B1" w:rsidRDefault="00E730B1" w:rsidP="00E730B1">
      <w:pPr>
        <w:numPr>
          <w:ilvl w:val="0"/>
          <w:numId w:val="7"/>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veniturile solicitantului sau ale familiei acestuia;</w:t>
      </w:r>
    </w:p>
    <w:p w:rsidR="00E730B1" w:rsidRPr="00E730B1" w:rsidRDefault="00E730B1" w:rsidP="00E730B1">
      <w:pPr>
        <w:numPr>
          <w:ilvl w:val="0"/>
          <w:numId w:val="7"/>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condiţiile de locuire;</w:t>
      </w:r>
    </w:p>
    <w:p w:rsidR="00E730B1" w:rsidRPr="00E730B1" w:rsidRDefault="00E730B1" w:rsidP="00E730B1">
      <w:pPr>
        <w:numPr>
          <w:ilvl w:val="0"/>
          <w:numId w:val="7"/>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starea de sănătate şi gradul de dependenţă.</w:t>
      </w: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Statul acordă beneficiile de asistenţă socială prin autorităţile administraţiei publice centrale sau locale, în conformitate cu  prevederile legislaţiei în vigoare.</w:t>
      </w:r>
    </w:p>
    <w:p w:rsid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p>
    <w:p w:rsidR="00A43FB2" w:rsidRDefault="00A43FB2"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p>
    <w:p w:rsidR="00A43FB2" w:rsidRDefault="00A43FB2"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p>
    <w:p w:rsidR="00A43FB2" w:rsidRDefault="00A43FB2"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lastRenderedPageBreak/>
        <w:t>Agenţia Naţională pentru Plăţi şi Inspecţie Socială derulează prin Agenţiile Judeţene pentru Plăţi şi Inspecţie Socială următoarele beneficii:</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Alocaţie de stat,  conform Legea nr. 61/1993</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Alocaţie plasament, conform Legii nr. 272/2004</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Alocaţie susţinerea familiei, conform Legii nr. 277/2010</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Indemnizaţie creştere copil OUG nr. 111/2010</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Stimulent de inserţie OUG nr. 111/2010</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Indemnizaţii şi ajutoare OUG nr. 111/2010, art. 31,32</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Ajutoare sociale (VMG), conform Legii nr. 416/2001 cu modificările şi completările ulterioare</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Ajutoare refugiaţi, conform Legii nr. 122/2006</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Indemnizaţie lunară hrană HIV/SIDA, conform Legii nr. 584/2002; HG. nr. 1177/2003</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Ajutoare de urgenţă, conform Legii nr. 416/2001</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Ajutoare pentru încălzirea locuinţei cu energie termică şi gaze naturale, conform OUG nr. 70/2011 cu modificările şi completările ulterioare</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Subvenţii pentru asociaţii şi fundaţii, conform Legii nr. 34/1998; HG nr. 1153/2001</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CASS  aferent   indemnizaţie OUG nr. 111/2010</w:t>
      </w:r>
    </w:p>
    <w:p w:rsidR="00E730B1" w:rsidRPr="00E730B1" w:rsidRDefault="00E730B1" w:rsidP="00E730B1">
      <w:pPr>
        <w:numPr>
          <w:ilvl w:val="0"/>
          <w:numId w:val="8"/>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CASS  aferent venitului  minim garantat</w:t>
      </w:r>
    </w:p>
    <w:p w:rsidR="00E730B1" w:rsidRPr="00E730B1" w:rsidRDefault="00E730B1" w:rsidP="00E730B1">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Aceste tipuri de beneficii de asistenţă socială  se plătesc prin următoarele modalităţi:</w:t>
      </w:r>
    </w:p>
    <w:p w:rsidR="00E730B1" w:rsidRPr="00E730B1" w:rsidRDefault="00E730B1" w:rsidP="00E730B1">
      <w:pPr>
        <w:numPr>
          <w:ilvl w:val="0"/>
          <w:numId w:val="9"/>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Mandat poştal la domiciul beneficiarului;</w:t>
      </w:r>
    </w:p>
    <w:p w:rsidR="00E730B1" w:rsidRPr="00E730B1" w:rsidRDefault="00E730B1" w:rsidP="00E730B1">
      <w:pPr>
        <w:numPr>
          <w:ilvl w:val="0"/>
          <w:numId w:val="9"/>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Cont bancar deschis la una  din unităţile bancare care au incheiate  convenţii cu Agenţia Judeţeană pentru Plăţi şi Inspecţie Socială, pe a cărei rază teritorială domiciliază/are reşedinţa titularul beneficiului</w:t>
      </w:r>
    </w:p>
    <w:p w:rsidR="00E730B1" w:rsidRPr="00E730B1" w:rsidRDefault="00E730B1" w:rsidP="00E730B1">
      <w:pPr>
        <w:numPr>
          <w:ilvl w:val="0"/>
          <w:numId w:val="9"/>
        </w:numPr>
        <w:shd w:val="clear" w:color="auto" w:fill="FFFFFF"/>
        <w:spacing w:after="0" w:line="315" w:lineRule="atLeast"/>
        <w:ind w:left="300"/>
        <w:textAlignment w:val="baseline"/>
        <w:rPr>
          <w:rFonts w:ascii="Arial" w:eastAsia="Times New Roman" w:hAnsi="Arial" w:cs="Arial"/>
          <w:color w:val="444545"/>
          <w:sz w:val="21"/>
          <w:szCs w:val="21"/>
          <w:lang w:val="ro-RO"/>
        </w:rPr>
      </w:pPr>
      <w:r w:rsidRPr="00E730B1">
        <w:rPr>
          <w:rFonts w:ascii="Arial" w:eastAsia="Times New Roman" w:hAnsi="Arial" w:cs="Arial"/>
          <w:color w:val="444545"/>
          <w:sz w:val="21"/>
          <w:szCs w:val="21"/>
          <w:lang w:val="ro-RO"/>
        </w:rPr>
        <w:t>Ştat de plată pentru persoanele care nu au domiciliu sau reşedinţă ( persoane fără locuinţă).</w:t>
      </w:r>
    </w:p>
    <w:p w:rsidR="00E730B1" w:rsidRPr="00E730B1" w:rsidRDefault="00E730B1" w:rsidP="00E730B1">
      <w:pPr>
        <w:shd w:val="clear" w:color="auto" w:fill="FFFFFF"/>
        <w:spacing w:beforeAutospacing="1" w:after="0" w:afterAutospacing="1" w:line="315" w:lineRule="atLeast"/>
        <w:jc w:val="both"/>
        <w:textAlignment w:val="baseline"/>
        <w:rPr>
          <w:rFonts w:ascii="Arial" w:eastAsia="Times New Roman" w:hAnsi="Arial" w:cs="Arial"/>
          <w:i/>
          <w:iCs/>
          <w:color w:val="444545"/>
          <w:sz w:val="21"/>
          <w:szCs w:val="21"/>
          <w:lang w:val="ro-RO"/>
        </w:rPr>
      </w:pPr>
      <w:r w:rsidRPr="00E730B1">
        <w:rPr>
          <w:rFonts w:ascii="Arial" w:eastAsia="Times New Roman" w:hAnsi="Arial" w:cs="Arial"/>
          <w:b/>
          <w:bCs/>
          <w:i/>
          <w:iCs/>
          <w:color w:val="444545"/>
          <w:sz w:val="21"/>
          <w:lang w:val="ro-RO"/>
        </w:rPr>
        <w:t>Atenţie!</w:t>
      </w:r>
    </w:p>
    <w:p w:rsidR="00E730B1" w:rsidRPr="00E730B1" w:rsidRDefault="00E730B1" w:rsidP="00E730B1">
      <w:pPr>
        <w:shd w:val="clear" w:color="auto" w:fill="FFFFFF"/>
        <w:spacing w:line="315" w:lineRule="atLeast"/>
        <w:jc w:val="both"/>
        <w:textAlignment w:val="baseline"/>
        <w:rPr>
          <w:rFonts w:ascii="Arial" w:eastAsia="Times New Roman" w:hAnsi="Arial" w:cs="Arial"/>
          <w:i/>
          <w:iCs/>
          <w:color w:val="444545"/>
          <w:sz w:val="21"/>
          <w:szCs w:val="21"/>
          <w:lang w:val="ro-RO"/>
        </w:rPr>
      </w:pPr>
      <w:r w:rsidRPr="00E730B1">
        <w:rPr>
          <w:rFonts w:ascii="Arial" w:eastAsia="Times New Roman" w:hAnsi="Arial" w:cs="Arial"/>
          <w:i/>
          <w:iCs/>
          <w:color w:val="444545"/>
          <w:sz w:val="21"/>
          <w:lang w:val="ro-RO"/>
        </w:rPr>
        <w:t>Sistemul naţional de beneficii de asistenţă socială include şi alte forme de sprijin, însă aici puteţi găsi doar beneficiile de asistenţă socială aflate în administrarea Agenţiei Naţionale pentru Plăţi şi Inspecţie Socială. Lista beneficiilor poate suferi modificări în urma schimbării cadrului legislativ</w:t>
      </w:r>
    </w:p>
    <w:p w:rsidR="000E27B7" w:rsidRDefault="000E27B7">
      <w:pPr>
        <w:rPr>
          <w:lang w:val="ro-RO"/>
        </w:rPr>
      </w:pPr>
    </w:p>
    <w:p w:rsidR="00A43FB2" w:rsidRDefault="00A43FB2">
      <w:pPr>
        <w:rPr>
          <w:lang w:val="ro-RO"/>
        </w:rPr>
      </w:pPr>
    </w:p>
    <w:p w:rsidR="00A43FB2" w:rsidRDefault="00A43FB2">
      <w:pPr>
        <w:rPr>
          <w:lang w:val="ro-RO"/>
        </w:rPr>
      </w:pPr>
    </w:p>
    <w:p w:rsidR="00A43FB2" w:rsidRDefault="00A43FB2">
      <w:pPr>
        <w:rPr>
          <w:lang w:val="ro-RO"/>
        </w:rPr>
      </w:pPr>
    </w:p>
    <w:p w:rsidR="00A43FB2" w:rsidRDefault="00A43FB2">
      <w:pPr>
        <w:rPr>
          <w:lang w:val="ro-RO"/>
        </w:rPr>
      </w:pPr>
    </w:p>
    <w:p w:rsidR="00A43FB2" w:rsidRDefault="00A43FB2">
      <w:pPr>
        <w:rPr>
          <w:lang w:val="ro-RO"/>
        </w:rPr>
      </w:pPr>
    </w:p>
    <w:p w:rsidR="00A43FB2" w:rsidRDefault="00A43FB2" w:rsidP="00A43FB2">
      <w:pPr>
        <w:pStyle w:val="ListParagraph1"/>
        <w:kinsoku w:val="0"/>
        <w:overflowPunct w:val="0"/>
        <w:spacing w:line="360" w:lineRule="auto"/>
        <w:textAlignment w:val="baseline"/>
        <w:rPr>
          <w:rFonts w:ascii="Times New Roman" w:eastAsia="SimSun" w:hAnsi="Times New Roman" w:cs="Times New Roman"/>
          <w:b/>
          <w:bCs/>
          <w:color w:val="000000"/>
          <w:kern w:val="24"/>
          <w:sz w:val="24"/>
          <w:szCs w:val="24"/>
          <w:lang w:val="ro-RO"/>
        </w:rPr>
      </w:pPr>
    </w:p>
    <w:p w:rsidR="00A43FB2" w:rsidRDefault="00A43FB2" w:rsidP="00A43FB2">
      <w:pPr>
        <w:pStyle w:val="ListParagraph1"/>
        <w:kinsoku w:val="0"/>
        <w:overflowPunct w:val="0"/>
        <w:spacing w:line="360" w:lineRule="auto"/>
        <w:textAlignment w:val="baseline"/>
        <w:rPr>
          <w:rFonts w:ascii="Times New Roman" w:eastAsia="SimSun" w:hAnsi="Times New Roman" w:cs="Times New Roman"/>
          <w:b/>
          <w:bCs/>
          <w:color w:val="000000"/>
          <w:kern w:val="24"/>
          <w:sz w:val="24"/>
          <w:szCs w:val="24"/>
          <w:lang w:val="ro-RO"/>
        </w:rPr>
      </w:pPr>
    </w:p>
    <w:p w:rsidR="00A43FB2" w:rsidRPr="003E31BA" w:rsidRDefault="00A43FB2" w:rsidP="00A43FB2">
      <w:pPr>
        <w:pStyle w:val="ListParagraph1"/>
        <w:kinsoku w:val="0"/>
        <w:overflowPunct w:val="0"/>
        <w:spacing w:line="360" w:lineRule="auto"/>
        <w:textAlignment w:val="baseline"/>
        <w:rPr>
          <w:rFonts w:ascii="Times New Roman" w:hAnsi="Times New Roman" w:cs="Times New Roman"/>
          <w:b/>
          <w:bCs/>
          <w:sz w:val="24"/>
          <w:szCs w:val="24"/>
          <w:lang w:val="ro-RO"/>
        </w:rPr>
      </w:pPr>
      <w:r w:rsidRPr="003E31BA">
        <w:rPr>
          <w:rFonts w:ascii="Times New Roman" w:eastAsia="SimSun" w:hAnsi="Times New Roman" w:cs="Times New Roman"/>
          <w:b/>
          <w:bCs/>
          <w:color w:val="000000"/>
          <w:kern w:val="24"/>
          <w:sz w:val="24"/>
          <w:szCs w:val="24"/>
          <w:lang w:val="ro-RO"/>
        </w:rPr>
        <w:lastRenderedPageBreak/>
        <w:t xml:space="preserve">   Principalele criterii pe baza cărora se acordă beneficiile de asistenţă socială sunt:</w:t>
      </w:r>
    </w:p>
    <w:p w:rsidR="00A43FB2" w:rsidRPr="003E31BA" w:rsidRDefault="00A43FB2" w:rsidP="00A43FB2">
      <w:pPr>
        <w:pStyle w:val="ListParagraph1"/>
        <w:numPr>
          <w:ilvl w:val="0"/>
          <w:numId w:val="10"/>
        </w:numPr>
        <w:kinsoku w:val="0"/>
        <w:overflowPunct w:val="0"/>
        <w:spacing w:line="360" w:lineRule="auto"/>
        <w:ind w:left="0" w:firstLine="720"/>
        <w:textAlignment w:val="baseline"/>
        <w:rPr>
          <w:rFonts w:ascii="Times New Roman" w:hAnsi="Times New Roman" w:cs="Times New Roman"/>
          <w:sz w:val="24"/>
          <w:szCs w:val="24"/>
          <w:lang w:val="ro-RO"/>
        </w:rPr>
      </w:pPr>
      <w:r w:rsidRPr="003E31BA">
        <w:rPr>
          <w:rFonts w:ascii="Times New Roman" w:hAnsi="Times New Roman" w:cs="Times New Roman"/>
          <w:sz w:val="24"/>
          <w:szCs w:val="24"/>
          <w:lang w:val="ro-RO"/>
        </w:rPr>
        <w:t>evaluarea contextului familial;</w:t>
      </w:r>
    </w:p>
    <w:p w:rsidR="00A43FB2" w:rsidRPr="003E31BA" w:rsidRDefault="00A43FB2" w:rsidP="00A43FB2">
      <w:pPr>
        <w:pStyle w:val="ListParagraph1"/>
        <w:numPr>
          <w:ilvl w:val="0"/>
          <w:numId w:val="10"/>
        </w:numPr>
        <w:kinsoku w:val="0"/>
        <w:overflowPunct w:val="0"/>
        <w:spacing w:line="360" w:lineRule="auto"/>
        <w:ind w:left="0" w:firstLine="720"/>
        <w:textAlignment w:val="baseline"/>
        <w:rPr>
          <w:rFonts w:ascii="Times New Roman" w:hAnsi="Times New Roman" w:cs="Times New Roman"/>
          <w:sz w:val="24"/>
          <w:szCs w:val="24"/>
          <w:lang w:val="ro-RO"/>
        </w:rPr>
      </w:pPr>
      <w:r w:rsidRPr="003E31BA">
        <w:rPr>
          <w:rFonts w:ascii="Times New Roman" w:hAnsi="Times New Roman" w:cs="Times New Roman"/>
          <w:sz w:val="24"/>
          <w:szCs w:val="24"/>
          <w:lang w:val="ro-RO"/>
        </w:rPr>
        <w:t>veniturile solicitantului sau ale familiei acesteia;</w:t>
      </w:r>
    </w:p>
    <w:p w:rsidR="00A43FB2" w:rsidRPr="003E31BA" w:rsidRDefault="00A43FB2" w:rsidP="00A43FB2">
      <w:pPr>
        <w:pStyle w:val="ListParagraph1"/>
        <w:numPr>
          <w:ilvl w:val="0"/>
          <w:numId w:val="10"/>
        </w:numPr>
        <w:kinsoku w:val="0"/>
        <w:overflowPunct w:val="0"/>
        <w:spacing w:line="360" w:lineRule="auto"/>
        <w:ind w:left="0" w:firstLine="720"/>
        <w:textAlignment w:val="baseline"/>
        <w:rPr>
          <w:rFonts w:ascii="Times New Roman" w:hAnsi="Times New Roman" w:cs="Times New Roman"/>
          <w:sz w:val="24"/>
          <w:szCs w:val="24"/>
          <w:lang w:val="ro-RO"/>
        </w:rPr>
      </w:pPr>
      <w:r w:rsidRPr="003E31BA">
        <w:rPr>
          <w:rFonts w:ascii="Times New Roman" w:hAnsi="Times New Roman" w:cs="Times New Roman"/>
          <w:sz w:val="24"/>
          <w:szCs w:val="24"/>
          <w:lang w:val="ro-RO"/>
        </w:rPr>
        <w:t>condi</w:t>
      </w:r>
      <w:r w:rsidRPr="003E31BA">
        <w:rPr>
          <w:rFonts w:ascii="Tahoma" w:hAnsi="Tahoma" w:cs="Tahoma"/>
          <w:sz w:val="24"/>
          <w:szCs w:val="24"/>
          <w:lang w:val="ro-RO"/>
        </w:rPr>
        <w:t>ț</w:t>
      </w:r>
      <w:r w:rsidRPr="003E31BA">
        <w:rPr>
          <w:rFonts w:ascii="Times New Roman" w:hAnsi="Times New Roman" w:cs="Times New Roman"/>
          <w:sz w:val="24"/>
          <w:szCs w:val="24"/>
          <w:lang w:val="ro-RO"/>
        </w:rPr>
        <w:t>iile de locuit;</w:t>
      </w:r>
    </w:p>
    <w:p w:rsidR="00A43FB2" w:rsidRPr="00A43FB2" w:rsidRDefault="00A43FB2" w:rsidP="00A43FB2">
      <w:pPr>
        <w:pStyle w:val="ListParagraph1"/>
        <w:numPr>
          <w:ilvl w:val="0"/>
          <w:numId w:val="10"/>
        </w:numPr>
        <w:kinsoku w:val="0"/>
        <w:overflowPunct w:val="0"/>
        <w:spacing w:line="360" w:lineRule="auto"/>
        <w:ind w:left="0" w:firstLine="720"/>
        <w:textAlignment w:val="baseline"/>
        <w:rPr>
          <w:rFonts w:ascii="Times New Roman" w:hAnsi="Times New Roman" w:cs="Times New Roman"/>
          <w:sz w:val="24"/>
          <w:szCs w:val="24"/>
          <w:lang w:val="ro-RO"/>
        </w:rPr>
      </w:pPr>
      <w:r w:rsidRPr="003E31BA">
        <w:rPr>
          <w:rFonts w:ascii="Times New Roman" w:hAnsi="Times New Roman" w:cs="Times New Roman"/>
          <w:sz w:val="24"/>
          <w:szCs w:val="24"/>
          <w:lang w:val="ro-RO"/>
        </w:rPr>
        <w:t xml:space="preserve">starea de sănătate </w:t>
      </w:r>
      <w:r w:rsidRPr="003E31BA">
        <w:rPr>
          <w:rFonts w:ascii="Tahoma" w:hAnsi="Tahoma" w:cs="Tahoma"/>
          <w:sz w:val="24"/>
          <w:szCs w:val="24"/>
          <w:lang w:val="ro-RO"/>
        </w:rPr>
        <w:t>ș</w:t>
      </w:r>
      <w:r w:rsidRPr="003E31BA">
        <w:rPr>
          <w:rFonts w:ascii="Times New Roman" w:hAnsi="Times New Roman" w:cs="Times New Roman"/>
          <w:sz w:val="24"/>
          <w:szCs w:val="24"/>
          <w:lang w:val="ro-RO"/>
        </w:rPr>
        <w:t>i gradul de dependen</w:t>
      </w:r>
      <w:r w:rsidRPr="003E31BA">
        <w:rPr>
          <w:rFonts w:ascii="Tahoma" w:hAnsi="Tahoma" w:cs="Tahoma"/>
          <w:sz w:val="24"/>
          <w:szCs w:val="24"/>
          <w:lang w:val="ro-RO"/>
        </w:rPr>
        <w:t>ț</w:t>
      </w:r>
      <w:r w:rsidRPr="003E31BA">
        <w:rPr>
          <w:rFonts w:ascii="Times New Roman" w:hAnsi="Times New Roman" w:cs="Times New Roman"/>
          <w:sz w:val="24"/>
          <w:szCs w:val="24"/>
          <w:lang w:val="ro-RO"/>
        </w:rPr>
        <w:t>ă.</w:t>
      </w:r>
    </w:p>
    <w:p w:rsidR="00A43FB2" w:rsidRPr="003E31BA" w:rsidRDefault="00A43FB2" w:rsidP="00A43FB2">
      <w:pPr>
        <w:kinsoku w:val="0"/>
        <w:overflowPunct w:val="0"/>
        <w:spacing w:line="360" w:lineRule="auto"/>
        <w:ind w:left="720" w:firstLine="720"/>
        <w:textAlignment w:val="baseline"/>
        <w:rPr>
          <w:rFonts w:ascii="Times New Roman" w:hAnsi="Times New Roman" w:cs="Times New Roman"/>
          <w:sz w:val="24"/>
          <w:szCs w:val="24"/>
          <w:lang w:val="ro-RO"/>
        </w:rPr>
      </w:pPr>
      <w:r w:rsidRPr="003E31BA">
        <w:rPr>
          <w:rFonts w:ascii="Times New Roman" w:hAnsi="Times New Roman" w:cs="Times New Roman"/>
          <w:sz w:val="24"/>
          <w:szCs w:val="24"/>
          <w:lang w:val="ro-RO"/>
        </w:rPr>
        <w:t xml:space="preserve">Acordarea/neacordarea dreptului </w:t>
      </w:r>
      <w:r>
        <w:rPr>
          <w:rFonts w:ascii="Times New Roman" w:hAnsi="Times New Roman" w:cs="Times New Roman"/>
          <w:sz w:val="24"/>
          <w:szCs w:val="24"/>
          <w:lang w:val="ro-RO"/>
        </w:rPr>
        <w:t>la toate beneficiile sociale se stabileşte</w:t>
      </w:r>
      <w:r w:rsidRPr="003E31BA">
        <w:rPr>
          <w:rFonts w:ascii="Times New Roman" w:hAnsi="Times New Roman" w:cs="Times New Roman"/>
          <w:sz w:val="24"/>
          <w:szCs w:val="24"/>
          <w:lang w:val="ro-RO"/>
        </w:rPr>
        <w:t xml:space="preserve"> prin decizie a directorului executiv al agen</w:t>
      </w:r>
      <w:r w:rsidRPr="003E31BA">
        <w:rPr>
          <w:rFonts w:ascii="Tahoma" w:hAnsi="Tahoma" w:cs="Tahoma"/>
          <w:sz w:val="24"/>
          <w:szCs w:val="24"/>
          <w:lang w:val="ro-RO"/>
        </w:rPr>
        <w:t>ț</w:t>
      </w:r>
      <w:r w:rsidRPr="003E31BA">
        <w:rPr>
          <w:rFonts w:ascii="Times New Roman" w:hAnsi="Times New Roman" w:cs="Times New Roman"/>
          <w:sz w:val="24"/>
          <w:szCs w:val="24"/>
          <w:lang w:val="ro-RO"/>
        </w:rPr>
        <w:t>iei, iar plata drepturilor se realizează către beneficiar, în func</w:t>
      </w:r>
      <w:r w:rsidRPr="003E31BA">
        <w:rPr>
          <w:rFonts w:ascii="Tahoma" w:hAnsi="Tahoma" w:cs="Tahoma"/>
          <w:sz w:val="24"/>
          <w:szCs w:val="24"/>
          <w:lang w:val="ro-RO"/>
        </w:rPr>
        <w:t>ț</w:t>
      </w:r>
      <w:r w:rsidRPr="003E31BA">
        <w:rPr>
          <w:rFonts w:ascii="Times New Roman" w:hAnsi="Times New Roman" w:cs="Times New Roman"/>
          <w:sz w:val="24"/>
          <w:szCs w:val="24"/>
          <w:lang w:val="ro-RO"/>
        </w:rPr>
        <w:t>ie de ob</w:t>
      </w:r>
      <w:r w:rsidRPr="003E31BA">
        <w:rPr>
          <w:rFonts w:ascii="Tahoma" w:hAnsi="Tahoma" w:cs="Tahoma"/>
          <w:sz w:val="24"/>
          <w:szCs w:val="24"/>
          <w:lang w:val="ro-RO"/>
        </w:rPr>
        <w:t>ț</w:t>
      </w:r>
      <w:r w:rsidRPr="003E31BA">
        <w:rPr>
          <w:rFonts w:ascii="Times New Roman" w:hAnsi="Times New Roman" w:cs="Times New Roman"/>
          <w:sz w:val="24"/>
          <w:szCs w:val="24"/>
          <w:lang w:val="ro-RO"/>
        </w:rPr>
        <w:t>iunea acestora prin mandat po</w:t>
      </w:r>
      <w:r w:rsidRPr="003E31BA">
        <w:rPr>
          <w:rFonts w:ascii="Tahoma" w:hAnsi="Tahoma" w:cs="Tahoma"/>
          <w:sz w:val="24"/>
          <w:szCs w:val="24"/>
          <w:lang w:val="ro-RO"/>
        </w:rPr>
        <w:t>ș</w:t>
      </w:r>
      <w:r w:rsidRPr="003E31BA">
        <w:rPr>
          <w:rFonts w:ascii="Times New Roman" w:hAnsi="Times New Roman" w:cs="Times New Roman"/>
          <w:sz w:val="24"/>
          <w:szCs w:val="24"/>
          <w:lang w:val="ro-RO"/>
        </w:rPr>
        <w:t>tal, cont curent personal sau cont de card.</w:t>
      </w:r>
    </w:p>
    <w:p w:rsidR="00A43FB2" w:rsidRPr="003E31BA" w:rsidRDefault="00A43FB2" w:rsidP="00A43FB2">
      <w:pPr>
        <w:pStyle w:val="NormalWeb"/>
        <w:kinsoku w:val="0"/>
        <w:overflowPunct w:val="0"/>
        <w:spacing w:before="120" w:beforeAutospacing="0" w:after="0" w:afterAutospacing="0" w:line="360" w:lineRule="auto"/>
        <w:ind w:left="547" w:firstLine="715"/>
        <w:textAlignment w:val="baseline"/>
        <w:rPr>
          <w:lang w:val="ro-RO" w:eastAsia="en-GB"/>
        </w:rPr>
      </w:pPr>
      <w:r w:rsidRPr="003E31BA">
        <w:rPr>
          <w:rFonts w:eastAsia="SimSun"/>
          <w:b/>
          <w:bCs/>
          <w:color w:val="000000"/>
          <w:kern w:val="24"/>
          <w:lang w:val="ro-RO"/>
        </w:rPr>
        <w:t>1. Sprijin acordat familiilor cu venituri reduse:</w:t>
      </w:r>
    </w:p>
    <w:p w:rsidR="00A43FB2" w:rsidRPr="003E31BA" w:rsidRDefault="00A43FB2" w:rsidP="00A43FB2">
      <w:pPr>
        <w:numPr>
          <w:ilvl w:val="0"/>
          <w:numId w:val="11"/>
        </w:numPr>
        <w:spacing w:before="100" w:beforeAutospacing="1" w:after="100" w:afterAutospacing="1"/>
        <w:ind w:left="660"/>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Ajutorul social</w:t>
      </w:r>
      <w:r w:rsidRPr="003E31BA">
        <w:rPr>
          <w:rFonts w:ascii="Times New Roman" w:hAnsi="Times New Roman" w:cs="Times New Roman"/>
          <w:sz w:val="24"/>
          <w:szCs w:val="24"/>
          <w:lang w:val="ro-RO" w:eastAsia="en-GB"/>
        </w:rPr>
        <w:t xml:space="preserve"> - prevazut de Legea 416/2001 privind venitul minim garantat, cu modificarile si completarile ulterioare - este un beneficiu care are la baza testarea veniturilor familiei sau persoanei singure solicitante. Cuantumul acestei prestatii se stabileste ca diferenta intre limitele prevazute de lege si veniturile realizate de catre solicitantii acestor prestatii. Evaluarea si stabilirea dreptului se face prin dispozitie a primarului din unitatile administrativ-teritoriale de domiciliu, inregistrarea si plata fiind efectuata de catre AJPIS </w:t>
      </w:r>
      <w:r>
        <w:rPr>
          <w:rFonts w:ascii="Times New Roman" w:hAnsi="Times New Roman" w:cs="Times New Roman"/>
          <w:sz w:val="24"/>
          <w:szCs w:val="24"/>
          <w:lang w:val="ro-RO" w:eastAsia="en-GB"/>
        </w:rPr>
        <w:t>Covasn</w:t>
      </w:r>
      <w:r w:rsidRPr="003E31BA">
        <w:rPr>
          <w:rFonts w:ascii="Times New Roman" w:hAnsi="Times New Roman" w:cs="Times New Roman"/>
          <w:sz w:val="24"/>
          <w:szCs w:val="24"/>
          <w:lang w:val="ro-RO" w:eastAsia="en-GB"/>
        </w:rPr>
        <w:t>a.  </w:t>
      </w:r>
    </w:p>
    <w:p w:rsidR="00A43FB2" w:rsidRPr="003E31BA" w:rsidRDefault="00A43FB2" w:rsidP="00A43FB2">
      <w:pPr>
        <w:numPr>
          <w:ilvl w:val="0"/>
          <w:numId w:val="12"/>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 xml:space="preserve">Ajutorul pentru  incalzirea locuintei </w:t>
      </w:r>
      <w:r w:rsidRPr="003E31BA">
        <w:rPr>
          <w:rFonts w:ascii="Times New Roman" w:hAnsi="Times New Roman" w:cs="Times New Roman"/>
          <w:sz w:val="24"/>
          <w:szCs w:val="24"/>
          <w:lang w:val="ro-RO" w:eastAsia="en-GB"/>
        </w:rPr>
        <w:t xml:space="preserve">- prevazute O.U.G. nr. 70/2011 privind masurile de protectie sociala in perioada sezonului rece la fel ca si ajutorul social, are la baza testarea veniturilor si acordarea unui cuantum compensatoriu care sa permita plata unei parti a tipului de incalzire utilizat de catre beneficiari. </w:t>
      </w:r>
    </w:p>
    <w:p w:rsidR="00A43FB2" w:rsidRPr="003E31BA" w:rsidRDefault="00A43FB2" w:rsidP="00A43FB2">
      <w:pPr>
        <w:spacing w:before="100" w:beforeAutospacing="1" w:after="100" w:afterAutospacing="1"/>
        <w:ind w:left="661" w:firstLineChars="472" w:firstLine="1133"/>
        <w:rPr>
          <w:rFonts w:ascii="Times New Roman" w:hAnsi="Times New Roman" w:cs="Times New Roman"/>
          <w:sz w:val="24"/>
          <w:szCs w:val="24"/>
          <w:lang w:val="ro-RO" w:eastAsia="en-GB"/>
        </w:rPr>
      </w:pPr>
      <w:r w:rsidRPr="003E31BA">
        <w:rPr>
          <w:rFonts w:ascii="Times New Roman" w:hAnsi="Times New Roman" w:cs="Times New Roman"/>
          <w:sz w:val="24"/>
          <w:szCs w:val="24"/>
          <w:lang w:val="ro-RO" w:eastAsia="en-GB"/>
        </w:rPr>
        <w:t>Plata ajutorului pentru incalzirea locuintei cu lemne se face de catre primariile de domiciliu pentru beneficiari, sumele aferente fiind asigurate de catre AJPIS prin transfer. Pentru beneficiarii de ajutor social, plata se efectueaza din bugetele locale.</w:t>
      </w:r>
    </w:p>
    <w:p w:rsidR="00A43FB2" w:rsidRPr="003E31BA" w:rsidRDefault="00A43FB2" w:rsidP="00A43FB2">
      <w:pPr>
        <w:numPr>
          <w:ilvl w:val="0"/>
          <w:numId w:val="13"/>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 xml:space="preserve">Alocatia pentru sustinerea familiei </w:t>
      </w:r>
      <w:r w:rsidRPr="003E31BA">
        <w:rPr>
          <w:rFonts w:ascii="Times New Roman" w:hAnsi="Times New Roman" w:cs="Times New Roman"/>
          <w:sz w:val="24"/>
          <w:szCs w:val="24"/>
          <w:lang w:val="ro-RO" w:eastAsia="en-GB"/>
        </w:rPr>
        <w:t>prevazuta de Legea nr. 277/2010, reprezinta un beneficiu de asistenta sociala, bazat tot pe testarea veniturilor si acordat familiilor cu venituri reduse care au in crestere si educare copii minori. Pe langa incadrarea in cuantumurile prevazute de lege in functie de numarul de copii, veniturile familiei si tipul acesteia (monoparentala sau cu ambii parinti), una dintre conditii pentru beneficiarii cu copii de varsta scolara este frecventarea de catre acestia a cursurilor unei forme de invatamant obligatoriu, absentele ori abandonul scolar influentand atat modul de acordare cat si cuantumul prevazut.</w:t>
      </w:r>
    </w:p>
    <w:p w:rsidR="00A43FB2" w:rsidRPr="003E31BA" w:rsidRDefault="00A43FB2" w:rsidP="00A43FB2">
      <w:pPr>
        <w:spacing w:before="100" w:beforeAutospacing="1" w:after="100" w:afterAutospacing="1"/>
        <w:rPr>
          <w:rFonts w:ascii="Times New Roman" w:hAnsi="Times New Roman" w:cs="Times New Roman"/>
          <w:sz w:val="24"/>
          <w:szCs w:val="24"/>
          <w:lang w:val="ro-RO" w:eastAsia="en-GB"/>
        </w:rPr>
      </w:pPr>
      <w:r w:rsidRPr="003E31BA">
        <w:rPr>
          <w:rFonts w:ascii="Times New Roman" w:hAnsi="Times New Roman" w:cs="Times New Roman"/>
          <w:sz w:val="24"/>
          <w:szCs w:val="24"/>
          <w:lang w:val="ro-RO" w:eastAsia="en-GB"/>
        </w:rPr>
        <w:t> </w:t>
      </w:r>
    </w:p>
    <w:p w:rsidR="00A43FB2" w:rsidRPr="003E31BA" w:rsidRDefault="00A43FB2" w:rsidP="00A43FB2">
      <w:pPr>
        <w:spacing w:before="100" w:beforeAutospacing="1" w:after="100" w:afterAutospacing="1"/>
        <w:rPr>
          <w:rFonts w:ascii="Times New Roman" w:hAnsi="Times New Roman" w:cs="Times New Roman"/>
          <w:sz w:val="24"/>
          <w:szCs w:val="24"/>
          <w:lang w:val="ro-RO" w:eastAsia="en-GB"/>
        </w:rPr>
      </w:pPr>
    </w:p>
    <w:p w:rsidR="00A43FB2" w:rsidRPr="003E31BA" w:rsidRDefault="00A43FB2" w:rsidP="00A43FB2">
      <w:pPr>
        <w:spacing w:before="100" w:beforeAutospacing="1" w:after="100" w:afterAutospacing="1"/>
        <w:rPr>
          <w:rFonts w:ascii="Times New Roman" w:hAnsi="Times New Roman" w:cs="Times New Roman"/>
          <w:b/>
          <w:bCs/>
          <w:sz w:val="24"/>
          <w:szCs w:val="24"/>
          <w:lang w:val="ro-RO" w:eastAsia="en-GB"/>
        </w:rPr>
      </w:pPr>
      <w:r w:rsidRPr="003E31BA">
        <w:rPr>
          <w:rFonts w:ascii="Times New Roman" w:hAnsi="Times New Roman" w:cs="Times New Roman"/>
          <w:b/>
          <w:bCs/>
          <w:sz w:val="24"/>
          <w:szCs w:val="24"/>
          <w:lang w:val="ro-RO" w:eastAsia="en-GB"/>
        </w:rPr>
        <w:lastRenderedPageBreak/>
        <w:t>2. Politici familiale</w:t>
      </w:r>
    </w:p>
    <w:p w:rsidR="00A43FB2" w:rsidRPr="003E31BA" w:rsidRDefault="00A43FB2" w:rsidP="00A43FB2">
      <w:pPr>
        <w:numPr>
          <w:ilvl w:val="0"/>
          <w:numId w:val="14"/>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Alocatia de stat pentru copii</w:t>
      </w:r>
      <w:r w:rsidRPr="003E31BA">
        <w:rPr>
          <w:rFonts w:ascii="Times New Roman" w:hAnsi="Times New Roman" w:cs="Times New Roman"/>
          <w:sz w:val="24"/>
          <w:szCs w:val="24"/>
          <w:lang w:val="ro-RO" w:eastAsia="en-GB"/>
        </w:rPr>
        <w:t xml:space="preserve"> - prevazuta de Legea nr. 61/1993, este un beneficiu cu caracter universal, fiind acordata fara a exista o conditie speciala precum situatii de nevoie sociala sau lipsa veniturilor. Este acordata in suma fixa de 200 lei/lunar pana la varsta de 2, respectiv 3 ani pentru copilul incadrat in grad de handicap si de </w:t>
      </w:r>
      <w:r>
        <w:rPr>
          <w:rFonts w:ascii="Times New Roman" w:hAnsi="Times New Roman" w:cs="Times New Roman"/>
          <w:sz w:val="24"/>
          <w:szCs w:val="24"/>
          <w:lang w:val="ro-RO" w:eastAsia="en-GB"/>
        </w:rPr>
        <w:t>84</w:t>
      </w:r>
      <w:r w:rsidRPr="003E31BA">
        <w:rPr>
          <w:rFonts w:ascii="Times New Roman" w:hAnsi="Times New Roman" w:cs="Times New Roman"/>
          <w:sz w:val="24"/>
          <w:szCs w:val="24"/>
          <w:lang w:val="ro-RO" w:eastAsia="en-GB"/>
        </w:rPr>
        <w:t xml:space="preserve"> lei/lunar dupa aceasta varsta si pana la terminarea cursurilor invatamantului liceal sau profesional. Pentru copiii incadrati in grad de handicap, cuantumul alocatiei </w:t>
      </w:r>
      <w:r>
        <w:rPr>
          <w:rFonts w:ascii="Times New Roman" w:hAnsi="Times New Roman" w:cs="Times New Roman"/>
          <w:sz w:val="24"/>
          <w:szCs w:val="24"/>
          <w:lang w:val="ro-RO" w:eastAsia="en-GB"/>
        </w:rPr>
        <w:t>e</w:t>
      </w:r>
      <w:r w:rsidRPr="003E31BA">
        <w:rPr>
          <w:rFonts w:ascii="Times New Roman" w:hAnsi="Times New Roman" w:cs="Times New Roman"/>
          <w:sz w:val="24"/>
          <w:szCs w:val="24"/>
          <w:lang w:val="ro-RO" w:eastAsia="en-GB"/>
        </w:rPr>
        <w:t>s</w:t>
      </w:r>
      <w:r>
        <w:rPr>
          <w:rFonts w:ascii="Times New Roman" w:hAnsi="Times New Roman" w:cs="Times New Roman"/>
          <w:sz w:val="24"/>
          <w:szCs w:val="24"/>
          <w:lang w:val="ro-RO" w:eastAsia="en-GB"/>
        </w:rPr>
        <w:t>t</w:t>
      </w:r>
      <w:r w:rsidRPr="003E31BA">
        <w:rPr>
          <w:rFonts w:ascii="Times New Roman" w:hAnsi="Times New Roman" w:cs="Times New Roman"/>
          <w:sz w:val="24"/>
          <w:szCs w:val="24"/>
          <w:lang w:val="ro-RO" w:eastAsia="en-GB"/>
        </w:rPr>
        <w:t xml:space="preserve">e de 200 lei/lunar. </w:t>
      </w:r>
    </w:p>
    <w:p w:rsidR="00A43FB2" w:rsidRPr="003E31BA" w:rsidRDefault="00A43FB2" w:rsidP="00A43FB2">
      <w:pPr>
        <w:numPr>
          <w:ilvl w:val="0"/>
          <w:numId w:val="14"/>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Alocatia de plasament</w:t>
      </w:r>
      <w:r w:rsidRPr="003E31BA">
        <w:rPr>
          <w:rFonts w:ascii="Times New Roman" w:hAnsi="Times New Roman" w:cs="Times New Roman"/>
          <w:sz w:val="24"/>
          <w:szCs w:val="24"/>
          <w:lang w:val="ro-RO" w:eastAsia="en-GB"/>
        </w:rPr>
        <w:t xml:space="preserve"> - a carei prevedere se regaseste in Legea nr. 272/2004 privind protectia si promovarea drepturilor copilului, reprezinta un beneficiu pentru persoanele cu nevoi speciale, in aceasta situatie pentru copiii aflati in plasament sau incredintare unor familii sau rude pana la gradul IV. Cuantumul alocatiei de plasament este de </w:t>
      </w:r>
      <w:r>
        <w:rPr>
          <w:rFonts w:ascii="Times New Roman" w:hAnsi="Times New Roman" w:cs="Times New Roman"/>
          <w:sz w:val="24"/>
          <w:szCs w:val="24"/>
          <w:lang w:val="ro-RO" w:eastAsia="en-GB"/>
        </w:rPr>
        <w:t>600</w:t>
      </w:r>
      <w:r w:rsidRPr="003E31BA">
        <w:rPr>
          <w:rFonts w:ascii="Times New Roman" w:hAnsi="Times New Roman" w:cs="Times New Roman"/>
          <w:sz w:val="24"/>
          <w:szCs w:val="24"/>
          <w:lang w:val="ro-RO" w:eastAsia="en-GB"/>
        </w:rPr>
        <w:t xml:space="preserve"> lei lunar, pentru copiii incadrati in grad de handicap fiind majorata cu 50%. </w:t>
      </w:r>
    </w:p>
    <w:p w:rsidR="00A43FB2" w:rsidRPr="003E31BA" w:rsidRDefault="00A43FB2" w:rsidP="00A43FB2">
      <w:pPr>
        <w:numPr>
          <w:ilvl w:val="0"/>
          <w:numId w:val="14"/>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Indemnizatia pentru cresterea copilului si stimulentul de insertie -</w:t>
      </w:r>
      <w:r w:rsidRPr="003E31BA">
        <w:rPr>
          <w:rFonts w:ascii="Times New Roman" w:hAnsi="Times New Roman" w:cs="Times New Roman"/>
          <w:sz w:val="24"/>
          <w:szCs w:val="24"/>
          <w:lang w:val="ro-RO" w:eastAsia="en-GB"/>
        </w:rPr>
        <w:t xml:space="preserve"> este un beneficiu bazat pe contributia sociala a solicitantului, fiind prevazut de de O.u.G. nr. 111/2010, privind concediul si indemnizatia lunara pentru cresterea copiilor.</w:t>
      </w:r>
    </w:p>
    <w:p w:rsidR="00A43FB2" w:rsidRPr="003E31BA" w:rsidRDefault="00A43FB2" w:rsidP="00A43FB2">
      <w:pPr>
        <w:spacing w:before="100" w:beforeAutospacing="1" w:after="100" w:afterAutospacing="1"/>
        <w:ind w:left="661" w:firstLineChars="472" w:firstLine="1133"/>
        <w:rPr>
          <w:rFonts w:ascii="Times New Roman" w:hAnsi="Times New Roman" w:cs="Times New Roman"/>
          <w:sz w:val="24"/>
          <w:szCs w:val="24"/>
          <w:lang w:val="ro-RO" w:eastAsia="en-GB"/>
        </w:rPr>
      </w:pPr>
      <w:r w:rsidRPr="003E31BA">
        <w:rPr>
          <w:rFonts w:ascii="Times New Roman" w:hAnsi="Times New Roman" w:cs="Times New Roman"/>
          <w:sz w:val="24"/>
          <w:szCs w:val="24"/>
          <w:lang w:val="ro-RO" w:eastAsia="en-GB"/>
        </w:rPr>
        <w:t xml:space="preserve">Principiul de acordare consta in realizarea de venituri supuse impozitului pe venit in perioada de 12 luni anterioare nasterii, iar rolul acestui beneficiu de asistenta sociala este de a sustine familia in procesul de educare si crestere a copiilor pana la varsta de unul, doi ani sau trei ani (pentru copilul cu handicap) conform optiunii parintelui solicitant si starii de sanatate a copilului. Acest beneficiu de asistenta sociala nu trebuie confundat cu sistemele de asigurari contributive (pensii, somaj, sanatate), veniturile acordate nefiind conditionate de o contributie financiara anterioara. </w:t>
      </w:r>
    </w:p>
    <w:p w:rsidR="00A43FB2" w:rsidRPr="003E31BA" w:rsidRDefault="00A43FB2" w:rsidP="00A43FB2">
      <w:pPr>
        <w:spacing w:before="100" w:beforeAutospacing="1" w:after="100" w:afterAutospacing="1"/>
        <w:ind w:left="661" w:firstLineChars="472" w:firstLine="1133"/>
        <w:rPr>
          <w:rFonts w:ascii="Times New Roman" w:hAnsi="Times New Roman" w:cs="Times New Roman"/>
          <w:sz w:val="24"/>
          <w:szCs w:val="24"/>
          <w:lang w:val="ro-RO" w:eastAsia="en-GB"/>
        </w:rPr>
      </w:pPr>
      <w:r w:rsidRPr="003E31BA">
        <w:rPr>
          <w:rFonts w:ascii="Times New Roman" w:hAnsi="Times New Roman" w:cs="Times New Roman"/>
          <w:sz w:val="24"/>
          <w:szCs w:val="24"/>
          <w:lang w:val="ro-RO" w:eastAsia="en-GB"/>
        </w:rPr>
        <w:t xml:space="preserve">Stimulentul de insertie are drept scop incurajarea participarii pe piata muncii si continuarea dezvoltarii carierei si consta in acordarea lunara a .......lei, pentru parintele care se intoarce anterior perioadei </w:t>
      </w:r>
      <w:r w:rsidR="00F96893">
        <w:rPr>
          <w:rFonts w:ascii="Times New Roman" w:hAnsi="Times New Roman" w:cs="Times New Roman"/>
          <w:sz w:val="24"/>
          <w:szCs w:val="24"/>
          <w:lang w:val="ro-RO" w:eastAsia="en-GB"/>
        </w:rPr>
        <w:t xml:space="preserve">de </w:t>
      </w:r>
      <w:r w:rsidRPr="003E31BA">
        <w:rPr>
          <w:rFonts w:ascii="Times New Roman" w:hAnsi="Times New Roman" w:cs="Times New Roman"/>
          <w:sz w:val="24"/>
          <w:szCs w:val="24"/>
          <w:lang w:val="ro-RO" w:eastAsia="en-GB"/>
        </w:rPr>
        <w:t xml:space="preserve">2 ani in campul muncii în functie de optiunea aleasa. </w:t>
      </w:r>
    </w:p>
    <w:p w:rsidR="00A43FB2" w:rsidRPr="003E31BA" w:rsidRDefault="00A43FB2" w:rsidP="00A43FB2">
      <w:pPr>
        <w:spacing w:before="100" w:beforeAutospacing="1" w:after="100" w:afterAutospacing="1"/>
        <w:rPr>
          <w:rFonts w:ascii="Times New Roman" w:hAnsi="Times New Roman" w:cs="Times New Roman"/>
          <w:b/>
          <w:bCs/>
          <w:sz w:val="24"/>
          <w:szCs w:val="24"/>
          <w:lang w:val="ro-RO" w:eastAsia="en-GB"/>
        </w:rPr>
      </w:pPr>
      <w:r w:rsidRPr="003E31BA">
        <w:rPr>
          <w:rFonts w:ascii="Times New Roman" w:hAnsi="Times New Roman" w:cs="Times New Roman"/>
          <w:b/>
          <w:bCs/>
          <w:sz w:val="24"/>
          <w:szCs w:val="24"/>
          <w:lang w:val="ro-RO" w:eastAsia="en-GB"/>
        </w:rPr>
        <w:t>3. Sprijin acordat persoanelor cu handicap</w:t>
      </w:r>
    </w:p>
    <w:p w:rsidR="00A43FB2" w:rsidRPr="003E31BA" w:rsidRDefault="00A43FB2" w:rsidP="00A43FB2">
      <w:pPr>
        <w:numPr>
          <w:ilvl w:val="0"/>
          <w:numId w:val="15"/>
        </w:numPr>
        <w:spacing w:before="100" w:beforeAutospacing="1" w:after="100" w:afterAutospacing="1"/>
        <w:jc w:val="both"/>
        <w:rPr>
          <w:rFonts w:ascii="Times New Roman" w:hAnsi="Times New Roman" w:cs="Times New Roman"/>
          <w:sz w:val="24"/>
          <w:szCs w:val="24"/>
          <w:lang w:val="ro-RO" w:eastAsia="en-GB"/>
        </w:rPr>
      </w:pPr>
      <w:r w:rsidRPr="003E31BA">
        <w:rPr>
          <w:rFonts w:ascii="Times New Roman" w:hAnsi="Times New Roman" w:cs="Times New Roman"/>
          <w:b/>
          <w:bCs/>
          <w:sz w:val="24"/>
          <w:szCs w:val="24"/>
          <w:lang w:val="ro-RO" w:eastAsia="en-GB"/>
        </w:rPr>
        <w:t xml:space="preserve">Drepturi acordate persoanelor cu handicap in conformitate cu Legea nr. 448/2006 </w:t>
      </w:r>
      <w:r w:rsidRPr="003E31BA">
        <w:rPr>
          <w:rFonts w:ascii="Times New Roman" w:hAnsi="Times New Roman" w:cs="Times New Roman"/>
          <w:sz w:val="24"/>
          <w:szCs w:val="24"/>
          <w:lang w:val="ro-RO" w:eastAsia="en-GB"/>
        </w:rPr>
        <w:t>- fac parte din beneficiile de asistenta sociala acordate persoanelor cu nevoi speciale. Desi drepturile sunt platite de catre DGASPC, sumele destinate platii sunt suportate prin transfer de catre bugetul de stat prin AJPIS. In aceasta categorie intra indemnizatiile pentru persoane cu handicap, bugetele complementare, indemnizatiile pentru insotitori (diferite de cele pentru asistentii personali, achitate de catre primarii din bugetele locale);</w:t>
      </w:r>
    </w:p>
    <w:p w:rsidR="00A43FB2" w:rsidRPr="00E730B1" w:rsidRDefault="00A43FB2" w:rsidP="00A43FB2">
      <w:pPr>
        <w:rPr>
          <w:lang w:val="ro-RO"/>
        </w:rPr>
      </w:pPr>
      <w:r w:rsidRPr="003E31BA">
        <w:rPr>
          <w:rFonts w:ascii="Times New Roman" w:hAnsi="Times New Roman" w:cs="Times New Roman"/>
          <w:b/>
          <w:bCs/>
          <w:sz w:val="24"/>
          <w:szCs w:val="24"/>
          <w:lang w:val="ro-RO" w:eastAsia="en-GB"/>
        </w:rPr>
        <w:t>Alocatia lunara de hrana pentru copiii cu handicap de tip HIV/SIDA</w:t>
      </w:r>
      <w:r w:rsidRPr="003E31BA">
        <w:rPr>
          <w:rFonts w:ascii="Times New Roman" w:hAnsi="Times New Roman" w:cs="Times New Roman"/>
          <w:sz w:val="24"/>
          <w:szCs w:val="24"/>
          <w:lang w:val="ro-RO" w:eastAsia="en-GB"/>
        </w:rPr>
        <w:t xml:space="preserve">, este un beneficiu social acordat de catre AJPIS, in baza prevederilor Legii nr. 584/2002 privind masurile de prevenire a maladiei SIDA in Romania si de protectie a persoanelor infectate cu HIV sau bolnave de SIDA. </w:t>
      </w:r>
    </w:p>
    <w:sectPr w:rsidR="00A43FB2" w:rsidRPr="00E730B1" w:rsidSect="00A43FB2">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FA9"/>
    <w:multiLevelType w:val="multilevel"/>
    <w:tmpl w:val="03015FA9"/>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
    <w:nsid w:val="156C04F5"/>
    <w:multiLevelType w:val="multilevel"/>
    <w:tmpl w:val="A27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426D8"/>
    <w:multiLevelType w:val="multilevel"/>
    <w:tmpl w:val="29A426D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
    <w:nsid w:val="29F12A78"/>
    <w:multiLevelType w:val="multilevel"/>
    <w:tmpl w:val="ECDA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515D9"/>
    <w:multiLevelType w:val="multilevel"/>
    <w:tmpl w:val="C64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B6698"/>
    <w:multiLevelType w:val="multilevel"/>
    <w:tmpl w:val="2ACB669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6">
    <w:nsid w:val="301F500A"/>
    <w:multiLevelType w:val="multilevel"/>
    <w:tmpl w:val="301F500A"/>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7">
    <w:nsid w:val="35BA6CAA"/>
    <w:multiLevelType w:val="multilevel"/>
    <w:tmpl w:val="11A8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56214"/>
    <w:multiLevelType w:val="multilevel"/>
    <w:tmpl w:val="E1BC8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3A6A55"/>
    <w:multiLevelType w:val="multilevel"/>
    <w:tmpl w:val="1DE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559B1"/>
    <w:multiLevelType w:val="multilevel"/>
    <w:tmpl w:val="3D8C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F8379"/>
    <w:multiLevelType w:val="singleLevel"/>
    <w:tmpl w:val="5AAF8379"/>
    <w:lvl w:ilvl="0">
      <w:start w:val="1"/>
      <w:numFmt w:val="bullet"/>
      <w:lvlText w:val=""/>
      <w:lvlJc w:val="left"/>
      <w:pPr>
        <w:ind w:left="420" w:hanging="420"/>
      </w:pPr>
      <w:rPr>
        <w:rFonts w:ascii="Wingdings" w:hAnsi="Wingdings" w:cs="Wingdings" w:hint="default"/>
      </w:rPr>
    </w:lvl>
  </w:abstractNum>
  <w:abstractNum w:abstractNumId="12">
    <w:nsid w:val="5BBC0606"/>
    <w:multiLevelType w:val="multilevel"/>
    <w:tmpl w:val="A26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E133B"/>
    <w:multiLevelType w:val="multilevel"/>
    <w:tmpl w:val="642E133B"/>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4">
    <w:nsid w:val="65E962D8"/>
    <w:multiLevelType w:val="multilevel"/>
    <w:tmpl w:val="8DD48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4"/>
  </w:num>
  <w:num w:numId="4">
    <w:abstractNumId w:val="7"/>
  </w:num>
  <w:num w:numId="5">
    <w:abstractNumId w:val="8"/>
  </w:num>
  <w:num w:numId="6">
    <w:abstractNumId w:val="10"/>
  </w:num>
  <w:num w:numId="7">
    <w:abstractNumId w:val="9"/>
  </w:num>
  <w:num w:numId="8">
    <w:abstractNumId w:val="4"/>
  </w:num>
  <w:num w:numId="9">
    <w:abstractNumId w:val="12"/>
  </w:num>
  <w:num w:numId="10">
    <w:abstractNumId w:val="11"/>
  </w:num>
  <w:num w:numId="11">
    <w:abstractNumId w:val="6"/>
  </w:num>
  <w:num w:numId="12">
    <w:abstractNumId w:val="2"/>
  </w:num>
  <w:num w:numId="13">
    <w:abstractNumId w:val="13"/>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30B1"/>
    <w:rsid w:val="000E27B7"/>
    <w:rsid w:val="0045290F"/>
    <w:rsid w:val="005B529B"/>
    <w:rsid w:val="00A43FB2"/>
    <w:rsid w:val="00E730B1"/>
    <w:rsid w:val="00F96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9B"/>
  </w:style>
  <w:style w:type="paragraph" w:styleId="Heading4">
    <w:name w:val="heading 4"/>
    <w:basedOn w:val="Normal"/>
    <w:link w:val="Heading4Char"/>
    <w:uiPriority w:val="9"/>
    <w:qFormat/>
    <w:rsid w:val="00E730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30B1"/>
    <w:rPr>
      <w:rFonts w:ascii="Times New Roman" w:eastAsia="Times New Roman" w:hAnsi="Times New Roman" w:cs="Times New Roman"/>
      <w:b/>
      <w:bCs/>
      <w:sz w:val="24"/>
      <w:szCs w:val="24"/>
    </w:rPr>
  </w:style>
  <w:style w:type="character" w:styleId="Strong">
    <w:name w:val="Strong"/>
    <w:basedOn w:val="DefaultParagraphFont"/>
    <w:uiPriority w:val="22"/>
    <w:qFormat/>
    <w:rsid w:val="00E730B1"/>
    <w:rPr>
      <w:b/>
      <w:bCs/>
    </w:rPr>
  </w:style>
  <w:style w:type="character" w:customStyle="1" w:styleId="apple-converted-space">
    <w:name w:val="apple-converted-space"/>
    <w:basedOn w:val="DefaultParagraphFont"/>
    <w:rsid w:val="00E730B1"/>
  </w:style>
  <w:style w:type="paragraph" w:styleId="NormalWeb">
    <w:name w:val="Normal (Web)"/>
    <w:basedOn w:val="Normal"/>
    <w:uiPriority w:val="99"/>
    <w:unhideWhenUsed/>
    <w:rsid w:val="00E730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30B1"/>
    <w:rPr>
      <w:i/>
      <w:iCs/>
    </w:rPr>
  </w:style>
  <w:style w:type="paragraph" w:customStyle="1" w:styleId="ListParagraph1">
    <w:name w:val="List Paragraph1"/>
    <w:basedOn w:val="Normal"/>
    <w:uiPriority w:val="99"/>
    <w:rsid w:val="00A43FB2"/>
    <w:pPr>
      <w:spacing w:after="120"/>
      <w:ind w:left="720"/>
      <w:jc w:val="both"/>
    </w:pPr>
    <w:rPr>
      <w:rFonts w:ascii="Trebuchet MS" w:eastAsia="MS Mincho" w:hAnsi="Trebuchet MS" w:cs="Trebuchet MS"/>
    </w:rPr>
  </w:style>
</w:styles>
</file>

<file path=word/webSettings.xml><?xml version="1.0" encoding="utf-8"?>
<w:webSettings xmlns:r="http://schemas.openxmlformats.org/officeDocument/2006/relationships" xmlns:w="http://schemas.openxmlformats.org/wordprocessingml/2006/main">
  <w:divs>
    <w:div w:id="469251771">
      <w:bodyDiv w:val="1"/>
      <w:marLeft w:val="0"/>
      <w:marRight w:val="0"/>
      <w:marTop w:val="0"/>
      <w:marBottom w:val="0"/>
      <w:divBdr>
        <w:top w:val="none" w:sz="0" w:space="0" w:color="auto"/>
        <w:left w:val="none" w:sz="0" w:space="0" w:color="auto"/>
        <w:bottom w:val="none" w:sz="0" w:space="0" w:color="auto"/>
        <w:right w:val="none" w:sz="0" w:space="0" w:color="auto"/>
      </w:divBdr>
      <w:divsChild>
        <w:div w:id="1846624014">
          <w:blockQuote w:val="1"/>
          <w:marLeft w:val="0"/>
          <w:marRight w:val="0"/>
          <w:marTop w:val="0"/>
          <w:marBottom w:val="300"/>
          <w:divBdr>
            <w:top w:val="single" w:sz="6" w:space="15" w:color="F3F3F3"/>
            <w:left w:val="single" w:sz="6" w:space="15" w:color="F3F3F3"/>
            <w:bottom w:val="single" w:sz="6" w:space="15" w:color="F3F3F3"/>
            <w:right w:val="single" w:sz="6" w:space="15" w:color="F3F3F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5</cp:revision>
  <cp:lastPrinted>2019-05-09T07:52:00Z</cp:lastPrinted>
  <dcterms:created xsi:type="dcterms:W3CDTF">2019-05-09T07:49:00Z</dcterms:created>
  <dcterms:modified xsi:type="dcterms:W3CDTF">2019-05-09T08:09:00Z</dcterms:modified>
</cp:coreProperties>
</file>